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4636" w14:textId="016BC01F" w:rsidR="00AD5E36" w:rsidRDefault="00AD5E36" w:rsidP="008025F4">
      <w:pPr>
        <w:pStyle w:val="Title"/>
        <w:jc w:val="center"/>
        <w:rPr>
          <w:b/>
          <w:bCs/>
        </w:rPr>
      </w:pPr>
      <w:r>
        <w:rPr>
          <w:b/>
          <w:bCs/>
          <w:noProof/>
        </w:rPr>
        <w:drawing>
          <wp:inline distT="0" distB="0" distL="0" distR="0" wp14:anchorId="1DB61FB5" wp14:editId="6E871C4F">
            <wp:extent cx="2069025" cy="864852"/>
            <wp:effectExtent l="0" t="0" r="7620" b="0"/>
            <wp:docPr id="1057849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49613" name="Picture 10578496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9025" cy="864852"/>
                    </a:xfrm>
                    <a:prstGeom prst="rect">
                      <a:avLst/>
                    </a:prstGeom>
                  </pic:spPr>
                </pic:pic>
              </a:graphicData>
            </a:graphic>
          </wp:inline>
        </w:drawing>
      </w:r>
    </w:p>
    <w:p w14:paraId="251D4259" w14:textId="77777777" w:rsidR="00AD5E36" w:rsidRDefault="00AD5E36" w:rsidP="008025F4">
      <w:pPr>
        <w:pStyle w:val="Title"/>
        <w:jc w:val="center"/>
        <w:rPr>
          <w:b/>
          <w:bCs/>
        </w:rPr>
      </w:pPr>
    </w:p>
    <w:p w14:paraId="72C60883" w14:textId="5BBAB777" w:rsidR="005C00FE" w:rsidRDefault="00926FA8" w:rsidP="008025F4">
      <w:pPr>
        <w:pStyle w:val="Title"/>
        <w:jc w:val="center"/>
        <w:rPr>
          <w:b/>
          <w:bCs/>
        </w:rPr>
      </w:pPr>
      <w:r>
        <w:rPr>
          <w:b/>
          <w:bCs/>
        </w:rPr>
        <w:t xml:space="preserve">Quiet Period </w:t>
      </w:r>
      <w:r w:rsidR="008025F4" w:rsidRPr="008025F4">
        <w:rPr>
          <w:b/>
          <w:bCs/>
        </w:rPr>
        <w:t>Questions</w:t>
      </w:r>
    </w:p>
    <w:p w14:paraId="6AA1BBF5" w14:textId="77777777" w:rsidR="008025F4" w:rsidRPr="008025F4" w:rsidRDefault="008025F4" w:rsidP="008025F4"/>
    <w:p w14:paraId="382DE6E2" w14:textId="434C4C93" w:rsidR="008025F4" w:rsidRPr="008025F4" w:rsidRDefault="008025F4" w:rsidP="008025F4">
      <w:pPr>
        <w:jc w:val="center"/>
        <w:rPr>
          <w:b/>
          <w:bCs/>
          <w:sz w:val="28"/>
          <w:szCs w:val="28"/>
        </w:rPr>
      </w:pPr>
      <w:r w:rsidRPr="008025F4">
        <w:rPr>
          <w:b/>
          <w:bCs/>
          <w:sz w:val="28"/>
          <w:szCs w:val="28"/>
        </w:rPr>
        <w:t xml:space="preserve">Updated </w:t>
      </w:r>
      <w:r w:rsidR="00926FA8">
        <w:rPr>
          <w:b/>
          <w:bCs/>
          <w:sz w:val="28"/>
          <w:szCs w:val="28"/>
        </w:rPr>
        <w:t>3.</w:t>
      </w:r>
      <w:r w:rsidR="00BD4198">
        <w:rPr>
          <w:b/>
          <w:bCs/>
          <w:sz w:val="28"/>
          <w:szCs w:val="28"/>
        </w:rPr>
        <w:t>11</w:t>
      </w:r>
      <w:r w:rsidR="00926FA8">
        <w:rPr>
          <w:b/>
          <w:bCs/>
          <w:sz w:val="28"/>
          <w:szCs w:val="28"/>
        </w:rPr>
        <w:t>.26</w:t>
      </w:r>
    </w:p>
    <w:p w14:paraId="0997735F" w14:textId="2295D50F" w:rsidR="004F1455" w:rsidRDefault="004F1455" w:rsidP="004F1455">
      <w:pPr>
        <w:rPr>
          <w:sz w:val="28"/>
          <w:szCs w:val="28"/>
        </w:rPr>
      </w:pPr>
      <w:r w:rsidRPr="004F1455">
        <w:rPr>
          <w:sz w:val="28"/>
          <w:szCs w:val="28"/>
        </w:rPr>
        <w:t xml:space="preserve"> </w:t>
      </w:r>
    </w:p>
    <w:p w14:paraId="484DB9C8" w14:textId="12296CFF" w:rsidR="005A54DB" w:rsidRDefault="005A54DB" w:rsidP="004F1455">
      <w:pPr>
        <w:rPr>
          <w:b/>
          <w:bCs/>
          <w:sz w:val="28"/>
          <w:szCs w:val="28"/>
        </w:rPr>
      </w:pPr>
      <w:r>
        <w:rPr>
          <w:b/>
          <w:bCs/>
          <w:sz w:val="28"/>
          <w:szCs w:val="28"/>
        </w:rPr>
        <w:t xml:space="preserve">Question: </w:t>
      </w:r>
      <w:r w:rsidRPr="005A54DB">
        <w:rPr>
          <w:b/>
          <w:bCs/>
          <w:sz w:val="28"/>
          <w:szCs w:val="28"/>
        </w:rPr>
        <w:t>Because we are a new organization applying during this RFP cycle, we want to confirm whether our application could in any way affect the funding allocations for organizations that have an existing funding history with Vintage. We recognize and value the importance of all funding coming into our county, even when awarded to other organizations, and want to ensure that our application will not inadvertently reduce the amount of funding available to them. Could you clarify whether the inclusion of a new applicant has any impact on existing organizations’ funding levels?</w:t>
      </w:r>
    </w:p>
    <w:p w14:paraId="3FD36916" w14:textId="7D20D88E" w:rsidR="005A54DB" w:rsidRDefault="005A54DB" w:rsidP="004F1455">
      <w:pPr>
        <w:rPr>
          <w:sz w:val="28"/>
          <w:szCs w:val="28"/>
        </w:rPr>
      </w:pPr>
      <w:r>
        <w:rPr>
          <w:b/>
          <w:bCs/>
          <w:sz w:val="28"/>
          <w:szCs w:val="28"/>
        </w:rPr>
        <w:t xml:space="preserve">Answer: </w:t>
      </w:r>
      <w:r w:rsidRPr="005A54DB">
        <w:rPr>
          <w:sz w:val="28"/>
          <w:szCs w:val="28"/>
        </w:rPr>
        <w:t>Short</w:t>
      </w:r>
      <w:r>
        <w:rPr>
          <w:sz w:val="28"/>
          <w:szCs w:val="28"/>
        </w:rPr>
        <w:t xml:space="preserve"> answer is, yes, the inclusion of a new applicant would impact  existing organizations’ funding levels. The available funding amount is flat from this current State Fiscal Year, so any additional contracts would decrease funding somewhere else. The longer answer takes in consideration the services that an Area Agency on Aging is required </w:t>
      </w:r>
      <w:r w:rsidR="005234A3">
        <w:rPr>
          <w:sz w:val="28"/>
          <w:szCs w:val="28"/>
        </w:rPr>
        <w:t xml:space="preserve">to provide </w:t>
      </w:r>
      <w:r>
        <w:rPr>
          <w:sz w:val="28"/>
          <w:szCs w:val="28"/>
        </w:rPr>
        <w:t>through the Older Americans Act</w:t>
      </w:r>
      <w:r w:rsidR="005234A3">
        <w:rPr>
          <w:sz w:val="28"/>
          <w:szCs w:val="28"/>
        </w:rPr>
        <w:t>.</w:t>
      </w:r>
    </w:p>
    <w:p w14:paraId="00B48F31" w14:textId="7ECE37AF" w:rsidR="005A54DB" w:rsidRDefault="005A54DB" w:rsidP="004F1455">
      <w:pPr>
        <w:rPr>
          <w:sz w:val="28"/>
          <w:szCs w:val="28"/>
        </w:rPr>
      </w:pPr>
      <w:r>
        <w:rPr>
          <w:sz w:val="28"/>
          <w:szCs w:val="28"/>
        </w:rPr>
        <w:t>“</w:t>
      </w:r>
      <w:r w:rsidR="00FA7FA1">
        <w:rPr>
          <w:sz w:val="28"/>
          <w:szCs w:val="28"/>
        </w:rPr>
        <w:t>P</w:t>
      </w:r>
      <w:r>
        <w:rPr>
          <w:sz w:val="28"/>
          <w:szCs w:val="28"/>
        </w:rPr>
        <w:t xml:space="preserve">riority services” </w:t>
      </w:r>
      <w:r w:rsidR="00253F16">
        <w:rPr>
          <w:sz w:val="28"/>
          <w:szCs w:val="28"/>
        </w:rPr>
        <w:t xml:space="preserve">we are required to </w:t>
      </w:r>
      <w:r w:rsidR="00FA7FA1">
        <w:rPr>
          <w:sz w:val="28"/>
          <w:szCs w:val="28"/>
        </w:rPr>
        <w:t xml:space="preserve">offer </w:t>
      </w:r>
      <w:r w:rsidR="005234A3">
        <w:rPr>
          <w:sz w:val="28"/>
          <w:szCs w:val="28"/>
        </w:rPr>
        <w:t xml:space="preserve">include all services that have their own dedicated funding stream (congregate and home delivered </w:t>
      </w:r>
      <w:r w:rsidR="00FA7FA1">
        <w:rPr>
          <w:sz w:val="28"/>
          <w:szCs w:val="28"/>
        </w:rPr>
        <w:t>meals, caregiver</w:t>
      </w:r>
      <w:r w:rsidR="005234A3">
        <w:rPr>
          <w:sz w:val="28"/>
          <w:szCs w:val="28"/>
        </w:rPr>
        <w:t xml:space="preserve"> </w:t>
      </w:r>
      <w:r w:rsidR="00FA7FA1">
        <w:rPr>
          <w:sz w:val="28"/>
          <w:szCs w:val="28"/>
        </w:rPr>
        <w:t>s</w:t>
      </w:r>
      <w:r w:rsidR="005234A3">
        <w:rPr>
          <w:sz w:val="28"/>
          <w:szCs w:val="28"/>
        </w:rPr>
        <w:t xml:space="preserve">ervices, Evidence Based Health Promotion services, </w:t>
      </w:r>
      <w:r w:rsidR="00FA7FA1">
        <w:rPr>
          <w:sz w:val="28"/>
          <w:szCs w:val="28"/>
        </w:rPr>
        <w:t xml:space="preserve">&amp; </w:t>
      </w:r>
      <w:r w:rsidR="005234A3">
        <w:rPr>
          <w:sz w:val="28"/>
          <w:szCs w:val="28"/>
        </w:rPr>
        <w:t>Long Term Care Ombudsmen)</w:t>
      </w:r>
      <w:r w:rsidR="00FA7FA1">
        <w:rPr>
          <w:sz w:val="28"/>
          <w:szCs w:val="28"/>
        </w:rPr>
        <w:t xml:space="preserve">. Other Priority Services that do not have their own dedicated funding include </w:t>
      </w:r>
      <w:r w:rsidR="005234A3">
        <w:rPr>
          <w:sz w:val="28"/>
          <w:szCs w:val="28"/>
        </w:rPr>
        <w:t xml:space="preserve">Access Services (includes transportation and case management), In-Home Services, and Legal Assistance. </w:t>
      </w:r>
      <w:r w:rsidR="00FA7FA1">
        <w:rPr>
          <w:sz w:val="28"/>
          <w:szCs w:val="28"/>
        </w:rPr>
        <w:t xml:space="preserve">So, any service that doesn’t fall into the Priority Services bucket is lumped together with whatever funding remains. </w:t>
      </w:r>
    </w:p>
    <w:p w14:paraId="0D99E547" w14:textId="5950FDD8" w:rsidR="00BD4198" w:rsidRPr="00BD4198" w:rsidRDefault="00BD4198" w:rsidP="00BD4198">
      <w:pPr>
        <w:rPr>
          <w:b/>
          <w:bCs/>
          <w:sz w:val="28"/>
          <w:szCs w:val="28"/>
        </w:rPr>
      </w:pPr>
      <w:r>
        <w:rPr>
          <w:b/>
          <w:bCs/>
          <w:sz w:val="28"/>
          <w:szCs w:val="28"/>
        </w:rPr>
        <w:t xml:space="preserve">Question: </w:t>
      </w:r>
      <w:r>
        <w:rPr>
          <w:b/>
          <w:bCs/>
          <w:sz w:val="28"/>
          <w:szCs w:val="28"/>
        </w:rPr>
        <w:t xml:space="preserve">Would </w:t>
      </w:r>
      <w:r w:rsidRPr="00BD4198">
        <w:rPr>
          <w:b/>
          <w:bCs/>
          <w:sz w:val="28"/>
          <w:szCs w:val="28"/>
        </w:rPr>
        <w:t>Vintage be open to one set hourly unit for legal services, versus the 2 separate rates for attorneys vs. paralegals for this next grant period</w:t>
      </w:r>
      <w:r>
        <w:rPr>
          <w:b/>
          <w:bCs/>
          <w:sz w:val="28"/>
          <w:szCs w:val="28"/>
        </w:rPr>
        <w:t>?</w:t>
      </w:r>
    </w:p>
    <w:p w14:paraId="072B24D6" w14:textId="63FD9E12" w:rsidR="00BD4198" w:rsidRDefault="00BD4198" w:rsidP="00BD4198">
      <w:pPr>
        <w:rPr>
          <w:b/>
          <w:bCs/>
          <w:sz w:val="28"/>
          <w:szCs w:val="28"/>
        </w:rPr>
      </w:pPr>
    </w:p>
    <w:p w14:paraId="6B1B08BD" w14:textId="020E5D7B" w:rsidR="00BD4198" w:rsidRDefault="00BD4198" w:rsidP="00BD4198">
      <w:pPr>
        <w:rPr>
          <w:sz w:val="28"/>
          <w:szCs w:val="28"/>
        </w:rPr>
      </w:pPr>
      <w:r>
        <w:rPr>
          <w:b/>
          <w:bCs/>
          <w:sz w:val="28"/>
          <w:szCs w:val="28"/>
        </w:rPr>
        <w:t>Answer:</w:t>
      </w:r>
      <w:r>
        <w:rPr>
          <w:b/>
          <w:bCs/>
          <w:sz w:val="28"/>
          <w:szCs w:val="28"/>
        </w:rPr>
        <w:t xml:space="preserve"> </w:t>
      </w:r>
      <w:r>
        <w:rPr>
          <w:sz w:val="28"/>
          <w:szCs w:val="28"/>
        </w:rPr>
        <w:t xml:space="preserve">Yes, just provide a detailed explanation why you’re requesting one unit price for legal hours in the proposal. </w:t>
      </w:r>
    </w:p>
    <w:p w14:paraId="289B3565" w14:textId="77777777" w:rsidR="00BD4198" w:rsidRPr="00BD4198" w:rsidRDefault="00BD4198" w:rsidP="00BD4198">
      <w:pPr>
        <w:rPr>
          <w:b/>
          <w:bCs/>
          <w:sz w:val="28"/>
          <w:szCs w:val="28"/>
        </w:rPr>
      </w:pPr>
      <w:r>
        <w:rPr>
          <w:b/>
          <w:bCs/>
          <w:sz w:val="28"/>
          <w:szCs w:val="28"/>
        </w:rPr>
        <w:t xml:space="preserve">Question: </w:t>
      </w:r>
      <w:r w:rsidRPr="00BD4198">
        <w:rPr>
          <w:b/>
          <w:bCs/>
          <w:sz w:val="28"/>
          <w:szCs w:val="28"/>
        </w:rPr>
        <w:t>What happens if we don't meet our projected units for the contract? For example, if we anticipate serving a certain number through a certain service, and we don't end up having that many who need the service, is that ok? We have found in the past that we meet or exceed contracted units in certain months, then don't meet units in other months.</w:t>
      </w:r>
    </w:p>
    <w:p w14:paraId="0BAE9C86" w14:textId="1B25D111" w:rsidR="00BD4198" w:rsidRDefault="00BD4198" w:rsidP="00BD4198">
      <w:pPr>
        <w:rPr>
          <w:sz w:val="28"/>
          <w:szCs w:val="28"/>
        </w:rPr>
      </w:pPr>
      <w:r>
        <w:rPr>
          <w:b/>
          <w:bCs/>
          <w:sz w:val="28"/>
          <w:szCs w:val="28"/>
        </w:rPr>
        <w:t xml:space="preserve">Answer: </w:t>
      </w:r>
      <w:r>
        <w:rPr>
          <w:sz w:val="28"/>
          <w:szCs w:val="28"/>
        </w:rPr>
        <w:t xml:space="preserve">Projected units are just that – projected. We know you don’t have a crystal ball either, but you should try your best with the information you have to accurately forecast the number of units and clients you’ll serve. There’s no punishment if you don’t meet your contracted units/clients, but we do expect that you will communicate proactively if you think you won’t meet the contracted units/clients or spend down the entirety of the contract. If you consistently don’t meet contractual requirements, year after year, that information will be used as an additional data point as new contracts are being formulated. </w:t>
      </w:r>
    </w:p>
    <w:p w14:paraId="741E138A" w14:textId="4CAB276D" w:rsidR="00BD4198" w:rsidRPr="00BD4198" w:rsidRDefault="00BD4198" w:rsidP="00BD4198">
      <w:pPr>
        <w:rPr>
          <w:sz w:val="28"/>
          <w:szCs w:val="28"/>
        </w:rPr>
      </w:pPr>
      <w:r>
        <w:rPr>
          <w:sz w:val="28"/>
          <w:szCs w:val="28"/>
        </w:rPr>
        <w:t xml:space="preserve">We usually look at the entire state fiscal year’s numbers more than month to month as we know monthly fluctuations occur due to a multitude of reasons. That said, we may question what happened during certain months if there are big data outliers. </w:t>
      </w:r>
    </w:p>
    <w:sectPr w:rsidR="00BD4198" w:rsidRPr="00BD4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F4"/>
    <w:rsid w:val="001236CD"/>
    <w:rsid w:val="00253F16"/>
    <w:rsid w:val="00450E7E"/>
    <w:rsid w:val="00484135"/>
    <w:rsid w:val="004E4207"/>
    <w:rsid w:val="004F1455"/>
    <w:rsid w:val="005234A3"/>
    <w:rsid w:val="005A54DB"/>
    <w:rsid w:val="005C00FE"/>
    <w:rsid w:val="008025F4"/>
    <w:rsid w:val="00926FA8"/>
    <w:rsid w:val="009D6FAB"/>
    <w:rsid w:val="00AD5E36"/>
    <w:rsid w:val="00BD4198"/>
    <w:rsid w:val="00E86D05"/>
    <w:rsid w:val="00F06695"/>
    <w:rsid w:val="00FA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41F9"/>
  <w15:chartTrackingRefBased/>
  <w15:docId w15:val="{2900FF0C-BB67-4C13-82F3-EB29C084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5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25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25F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5F4"/>
    <w:pPr>
      <w:ind w:left="720"/>
      <w:contextualSpacing/>
    </w:pPr>
  </w:style>
  <w:style w:type="paragraph" w:styleId="Subtitle">
    <w:name w:val="Subtitle"/>
    <w:basedOn w:val="Normal"/>
    <w:next w:val="Normal"/>
    <w:link w:val="SubtitleChar"/>
    <w:uiPriority w:val="11"/>
    <w:qFormat/>
    <w:rsid w:val="004E42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420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466</Words>
  <Characters>2607</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Fisher</dc:creator>
  <cp:keywords/>
  <dc:description/>
  <cp:lastModifiedBy>Erin Fisher</cp:lastModifiedBy>
  <cp:revision>10</cp:revision>
  <dcterms:created xsi:type="dcterms:W3CDTF">2024-01-11T18:46:00Z</dcterms:created>
  <dcterms:modified xsi:type="dcterms:W3CDTF">2026-03-11T22:46:00Z</dcterms:modified>
</cp:coreProperties>
</file>